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allusion</w:t>
      </w:r>
      <w:proofErr w:type="gramEnd"/>
      <w:r w:rsidRPr="00045B01">
        <w:rPr>
          <w:rFonts w:ascii="Cambria" w:hAnsi="Cambria" w:cs="Arial"/>
          <w:sz w:val="20"/>
          <w:szCs w:val="20"/>
        </w:rPr>
        <w:t>: a casual and brief reference to a famous historical or literary figure or event.  The best sources for allusions are literature, history, Greek mythology, and the Bible</w:t>
      </w:r>
    </w:p>
    <w:p w:rsidR="00CD1982" w:rsidRPr="00045B01" w:rsidRDefault="00CD1982" w:rsidP="00CD1982">
      <w:pPr>
        <w:rPr>
          <w:rFonts w:ascii="Cambria" w:hAnsi="Cambria" w:cs="Arial"/>
          <w:sz w:val="20"/>
          <w:szCs w:val="20"/>
        </w:rPr>
      </w:pPr>
    </w:p>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alliteration</w:t>
      </w:r>
      <w:proofErr w:type="gramEnd"/>
      <w:r w:rsidRPr="00045B01">
        <w:rPr>
          <w:rFonts w:ascii="Cambria" w:hAnsi="Cambria" w:cs="Arial"/>
          <w:sz w:val="20"/>
          <w:szCs w:val="20"/>
        </w:rPr>
        <w:t xml:space="preserve">: the recurrence of initial consonant sounds-the repetition is </w:t>
      </w:r>
      <w:r w:rsidRPr="00045B01">
        <w:rPr>
          <w:rFonts w:ascii="Cambria" w:hAnsi="Cambria" w:cs="Arial"/>
          <w:i/>
          <w:sz w:val="20"/>
          <w:szCs w:val="20"/>
        </w:rPr>
        <w:t>usually</w:t>
      </w:r>
      <w:r w:rsidRPr="00045B01">
        <w:rPr>
          <w:rFonts w:ascii="Cambria" w:hAnsi="Cambria" w:cs="Arial"/>
          <w:sz w:val="20"/>
          <w:szCs w:val="20"/>
        </w:rPr>
        <w:t xml:space="preserve"> limited to two words  </w:t>
      </w:r>
      <w:r w:rsidRPr="00045B01">
        <w:rPr>
          <w:rFonts w:ascii="Cambria" w:hAnsi="Cambria" w:cs="Arial"/>
          <w:b/>
          <w:sz w:val="20"/>
          <w:szCs w:val="20"/>
        </w:rPr>
        <w:t>Example</w:t>
      </w:r>
      <w:r w:rsidRPr="00045B01">
        <w:rPr>
          <w:rFonts w:ascii="Cambria" w:hAnsi="Cambria" w:cs="Arial"/>
          <w:sz w:val="20"/>
          <w:szCs w:val="20"/>
        </w:rPr>
        <w:t xml:space="preserve">: “Ah, what a </w:t>
      </w:r>
      <w:r w:rsidRPr="00045B01">
        <w:rPr>
          <w:rFonts w:ascii="Cambria" w:hAnsi="Cambria" w:cs="Arial"/>
          <w:b/>
          <w:sz w:val="20"/>
          <w:szCs w:val="20"/>
          <w:u w:val="single"/>
        </w:rPr>
        <w:t>d</w:t>
      </w:r>
      <w:r w:rsidRPr="00045B01">
        <w:rPr>
          <w:rFonts w:ascii="Cambria" w:hAnsi="Cambria" w:cs="Arial"/>
          <w:sz w:val="20"/>
          <w:szCs w:val="20"/>
        </w:rPr>
        <w:t xml:space="preserve">elicious </w:t>
      </w:r>
      <w:r w:rsidRPr="00045B01">
        <w:rPr>
          <w:rFonts w:ascii="Cambria" w:hAnsi="Cambria" w:cs="Arial"/>
          <w:b/>
          <w:sz w:val="20"/>
          <w:szCs w:val="20"/>
          <w:u w:val="single"/>
        </w:rPr>
        <w:t>d</w:t>
      </w:r>
      <w:r w:rsidRPr="00045B01">
        <w:rPr>
          <w:rFonts w:ascii="Cambria" w:hAnsi="Cambria" w:cs="Arial"/>
          <w:sz w:val="20"/>
          <w:szCs w:val="20"/>
        </w:rPr>
        <w:t>ay!”</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b/>
          <w:sz w:val="20"/>
          <w:szCs w:val="20"/>
        </w:rPr>
      </w:pPr>
      <w:proofErr w:type="gramStart"/>
      <w:r w:rsidRPr="00045B01">
        <w:rPr>
          <w:rFonts w:ascii="Cambria" w:hAnsi="Cambria" w:cs="Arial"/>
          <w:b/>
          <w:sz w:val="20"/>
          <w:szCs w:val="20"/>
        </w:rPr>
        <w:t>anaphora</w:t>
      </w:r>
      <w:proofErr w:type="gramEnd"/>
      <w:r w:rsidRPr="00045B01">
        <w:rPr>
          <w:rFonts w:ascii="Cambria" w:hAnsi="Cambria" w:cs="Arial"/>
          <w:b/>
          <w:sz w:val="20"/>
          <w:szCs w:val="20"/>
        </w:rPr>
        <w:t xml:space="preserve">: </w:t>
      </w:r>
      <w:r w:rsidRPr="00045B01">
        <w:rPr>
          <w:rFonts w:ascii="Cambria" w:hAnsi="Cambria" w:cs="Arial"/>
          <w:sz w:val="20"/>
          <w:szCs w:val="20"/>
        </w:rPr>
        <w:t xml:space="preserve">repetition of word(s) for meaning </w:t>
      </w:r>
      <w:r w:rsidRPr="00045B01">
        <w:rPr>
          <w:rFonts w:ascii="Cambria" w:hAnsi="Cambria" w:cs="Arial"/>
          <w:b/>
          <w:sz w:val="20"/>
          <w:szCs w:val="20"/>
        </w:rPr>
        <w:t>Example</w:t>
      </w:r>
      <w:r w:rsidRPr="00045B01">
        <w:rPr>
          <w:rFonts w:ascii="Cambria" w:hAnsi="Cambria" w:cs="Arial"/>
          <w:sz w:val="20"/>
          <w:szCs w:val="20"/>
        </w:rPr>
        <w:t>: “blood” in Book the Second</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apostrophe</w:t>
      </w:r>
      <w:proofErr w:type="gramEnd"/>
      <w:r w:rsidRPr="00045B01">
        <w:rPr>
          <w:rFonts w:ascii="Cambria" w:hAnsi="Cambria" w:cs="Arial"/>
          <w:b/>
          <w:sz w:val="20"/>
          <w:szCs w:val="20"/>
        </w:rPr>
        <w:t xml:space="preserve">: </w:t>
      </w:r>
      <w:r w:rsidRPr="00045B01">
        <w:rPr>
          <w:rFonts w:ascii="Cambria" w:hAnsi="Cambria" w:cs="Arial"/>
          <w:sz w:val="20"/>
          <w:szCs w:val="20"/>
        </w:rPr>
        <w:t>A direct address to an absent or dead person or to an object, quality, or idea</w:t>
      </w:r>
    </w:p>
    <w:p w:rsidR="00CD1982" w:rsidRPr="00045B01" w:rsidRDefault="00CD1982" w:rsidP="00CD1982">
      <w:pPr>
        <w:rPr>
          <w:rFonts w:ascii="Cambria" w:hAnsi="Cambria" w:cs="Arial"/>
          <w:sz w:val="20"/>
          <w:szCs w:val="20"/>
        </w:rPr>
      </w:pPr>
      <w:r w:rsidRPr="00045B01">
        <w:rPr>
          <w:rFonts w:ascii="Cambria" w:hAnsi="Cambria" w:cs="Arial"/>
          <w:sz w:val="20"/>
          <w:szCs w:val="20"/>
        </w:rPr>
        <w:t>Example: “O Captain, My Captain” was written upon the death of Abraham Lincoln (Whitman)</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b/>
          <w:color w:val="FF0000"/>
          <w:sz w:val="20"/>
          <w:szCs w:val="20"/>
        </w:rPr>
      </w:pPr>
      <w:proofErr w:type="gramStart"/>
      <w:r w:rsidRPr="00045B01">
        <w:rPr>
          <w:rFonts w:ascii="Cambria" w:hAnsi="Cambria" w:cs="Arial"/>
          <w:b/>
          <w:sz w:val="20"/>
          <w:szCs w:val="20"/>
        </w:rPr>
        <w:t>assonance</w:t>
      </w:r>
      <w:proofErr w:type="gramEnd"/>
      <w:r w:rsidRPr="00045B01">
        <w:rPr>
          <w:rFonts w:ascii="Cambria" w:hAnsi="Cambria" w:cs="Arial"/>
          <w:b/>
          <w:sz w:val="20"/>
          <w:szCs w:val="20"/>
        </w:rPr>
        <w:t>:</w:t>
      </w:r>
      <w:r w:rsidRPr="00045B01">
        <w:rPr>
          <w:rFonts w:ascii="Cambria" w:hAnsi="Cambria" w:cs="Arial"/>
          <w:b/>
          <w:color w:val="FF0000"/>
          <w:sz w:val="20"/>
          <w:szCs w:val="20"/>
        </w:rPr>
        <w:t xml:space="preserve"> </w:t>
      </w:r>
      <w:r w:rsidRPr="00045B01">
        <w:rPr>
          <w:rFonts w:ascii="Cambria" w:hAnsi="Cambria" w:cs="Arial"/>
          <w:sz w:val="20"/>
          <w:szCs w:val="20"/>
        </w:rPr>
        <w:t xml:space="preserve">repetition of similar vowel sounds in a sequence of nearby words. </w:t>
      </w:r>
      <w:r w:rsidRPr="00045B01">
        <w:rPr>
          <w:rFonts w:ascii="Cambria" w:hAnsi="Cambria" w:cs="Arial"/>
          <w:b/>
          <w:sz w:val="20"/>
          <w:szCs w:val="20"/>
        </w:rPr>
        <w:t xml:space="preserve">Example: </w:t>
      </w:r>
      <w:r w:rsidRPr="00045B01">
        <w:rPr>
          <w:rFonts w:ascii="Cambria" w:hAnsi="Cambria" w:cs="Arial"/>
          <w:sz w:val="20"/>
          <w:szCs w:val="20"/>
        </w:rPr>
        <w:t>“sainted radiant maiden”</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cacophony</w:t>
      </w:r>
      <w:proofErr w:type="gramEnd"/>
      <w:r w:rsidRPr="00045B01">
        <w:rPr>
          <w:rFonts w:ascii="Cambria" w:hAnsi="Cambria" w:cs="Arial"/>
          <w:b/>
          <w:sz w:val="20"/>
          <w:szCs w:val="20"/>
        </w:rPr>
        <w:t xml:space="preserve">: </w:t>
      </w:r>
      <w:r w:rsidRPr="00045B01">
        <w:rPr>
          <w:rFonts w:ascii="Cambria" w:hAnsi="Cambria" w:cs="Arial"/>
          <w:sz w:val="20"/>
          <w:szCs w:val="20"/>
        </w:rPr>
        <w:t>the clash of discordant or harsh sounds within a sentence or phrase</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connotation/denotation</w:t>
      </w:r>
      <w:proofErr w:type="gramEnd"/>
      <w:r w:rsidRPr="00045B01">
        <w:rPr>
          <w:rFonts w:ascii="Cambria" w:hAnsi="Cambria" w:cs="Arial"/>
          <w:b/>
          <w:sz w:val="20"/>
          <w:szCs w:val="20"/>
        </w:rPr>
        <w:t xml:space="preserve">: </w:t>
      </w:r>
      <w:r w:rsidRPr="00045B01">
        <w:rPr>
          <w:rFonts w:ascii="Cambria" w:hAnsi="Cambria" w:cs="Arial"/>
          <w:sz w:val="20"/>
          <w:szCs w:val="20"/>
        </w:rPr>
        <w:t xml:space="preserve">the literary (dictionary) meaning of a word is its </w:t>
      </w:r>
      <w:r w:rsidRPr="00045B01">
        <w:rPr>
          <w:rFonts w:ascii="Cambria" w:hAnsi="Cambria" w:cs="Arial"/>
          <w:b/>
          <w:sz w:val="20"/>
          <w:szCs w:val="20"/>
        </w:rPr>
        <w:t>denotation</w:t>
      </w:r>
      <w:r w:rsidRPr="00045B01">
        <w:rPr>
          <w:rFonts w:ascii="Cambria" w:hAnsi="Cambria" w:cs="Arial"/>
          <w:sz w:val="20"/>
          <w:szCs w:val="20"/>
        </w:rPr>
        <w:t xml:space="preserve">. The </w:t>
      </w:r>
      <w:r w:rsidRPr="00045B01">
        <w:rPr>
          <w:rFonts w:ascii="Cambria" w:hAnsi="Cambria" w:cs="Arial"/>
          <w:b/>
          <w:sz w:val="20"/>
          <w:szCs w:val="20"/>
        </w:rPr>
        <w:t>connotation</w:t>
      </w:r>
      <w:r w:rsidRPr="00045B01">
        <w:rPr>
          <w:rFonts w:ascii="Cambria" w:hAnsi="Cambria" w:cs="Arial"/>
          <w:sz w:val="20"/>
          <w:szCs w:val="20"/>
        </w:rPr>
        <w:t xml:space="preserve"> of a word involves feelings and emotions associated with it.</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hyperbole</w:t>
      </w:r>
      <w:proofErr w:type="gramEnd"/>
      <w:r w:rsidRPr="00045B01">
        <w:rPr>
          <w:rFonts w:ascii="Cambria" w:hAnsi="Cambria" w:cs="Arial"/>
          <w:sz w:val="20"/>
          <w:szCs w:val="20"/>
        </w:rPr>
        <w:t xml:space="preserve">: a figure of speech in which deliberate exaggeration is used for emphasis.  </w:t>
      </w:r>
      <w:r w:rsidRPr="00045B01">
        <w:rPr>
          <w:rFonts w:ascii="Cambria" w:hAnsi="Cambria" w:cs="Arial"/>
          <w:b/>
          <w:sz w:val="20"/>
          <w:szCs w:val="20"/>
        </w:rPr>
        <w:t>Example</w:t>
      </w:r>
      <w:r w:rsidRPr="00045B01">
        <w:rPr>
          <w:rFonts w:ascii="Cambria" w:hAnsi="Cambria" w:cs="Arial"/>
          <w:sz w:val="20"/>
          <w:szCs w:val="20"/>
        </w:rPr>
        <w:t>: waiting for ages * tons of money * a flood of tears * I nearly died laughing* I tried a thousand times</w:t>
      </w:r>
    </w:p>
    <w:p w:rsidR="00CD1982" w:rsidRPr="00045B01" w:rsidRDefault="00CD1982" w:rsidP="00CD1982">
      <w:pPr>
        <w:rPr>
          <w:rFonts w:ascii="Cambria" w:hAnsi="Cambria" w:cs="Arial"/>
          <w:b/>
          <w:color w:val="FF0000"/>
          <w:sz w:val="20"/>
          <w:szCs w:val="20"/>
        </w:rPr>
      </w:pPr>
    </w:p>
    <w:p w:rsidR="00CD1982" w:rsidRPr="00045B01" w:rsidRDefault="00CD1982" w:rsidP="00CD1982">
      <w:pPr>
        <w:rPr>
          <w:rFonts w:ascii="Cambria" w:hAnsi="Cambria" w:cs="Arial"/>
          <w:b/>
          <w:sz w:val="20"/>
          <w:szCs w:val="20"/>
        </w:rPr>
      </w:pPr>
      <w:proofErr w:type="gramStart"/>
      <w:r w:rsidRPr="00045B01">
        <w:rPr>
          <w:rFonts w:ascii="Cambria" w:hAnsi="Cambria" w:cs="Arial"/>
          <w:b/>
          <w:sz w:val="20"/>
          <w:szCs w:val="20"/>
        </w:rPr>
        <w:t>imagery</w:t>
      </w:r>
      <w:proofErr w:type="gramEnd"/>
      <w:r w:rsidRPr="00045B01">
        <w:rPr>
          <w:rFonts w:ascii="Cambria" w:hAnsi="Cambria" w:cs="Arial"/>
          <w:b/>
          <w:sz w:val="20"/>
          <w:szCs w:val="20"/>
        </w:rPr>
        <w:t xml:space="preserve">: </w:t>
      </w:r>
      <w:r w:rsidRPr="00045B01">
        <w:rPr>
          <w:rFonts w:ascii="Cambria" w:hAnsi="Cambria" w:cs="Arial"/>
          <w:sz w:val="20"/>
          <w:szCs w:val="20"/>
        </w:rPr>
        <w:t>representation through language of sensory experience either visual, sound (auditory image), smell (olfactory image), taste (gustatory image), touch (tactile image), or internal sensation (organic image), or movement or tension in muscles (kinesthetic image).</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b/>
          <w:color w:val="FF0000"/>
          <w:sz w:val="20"/>
          <w:szCs w:val="20"/>
        </w:rPr>
      </w:pPr>
      <w:proofErr w:type="gramStart"/>
      <w:r w:rsidRPr="00045B01">
        <w:rPr>
          <w:rFonts w:ascii="Cambria" w:hAnsi="Cambria" w:cs="Arial"/>
          <w:b/>
          <w:sz w:val="20"/>
          <w:szCs w:val="20"/>
        </w:rPr>
        <w:t>juxtaposition</w:t>
      </w:r>
      <w:proofErr w:type="gramEnd"/>
      <w:r w:rsidRPr="00045B01">
        <w:rPr>
          <w:rFonts w:ascii="Cambria" w:hAnsi="Cambria" w:cs="Arial"/>
          <w:b/>
          <w:sz w:val="20"/>
          <w:szCs w:val="20"/>
        </w:rPr>
        <w:t xml:space="preserve">: </w:t>
      </w:r>
      <w:r w:rsidRPr="00045B01">
        <w:rPr>
          <w:rFonts w:ascii="Cambria" w:hAnsi="Cambria" w:cs="Arial"/>
          <w:sz w:val="20"/>
          <w:szCs w:val="20"/>
        </w:rPr>
        <w:t>two items placed side by side to create an effect, reveal an attitude, or accomplish a purpose</w:t>
      </w:r>
      <w:r w:rsidRPr="00045B01">
        <w:rPr>
          <w:rFonts w:ascii="Cambria" w:hAnsi="Cambria" w:cs="Arial"/>
          <w:color w:val="FF0000"/>
          <w:sz w:val="20"/>
          <w:szCs w:val="20"/>
        </w:rPr>
        <w:t xml:space="preserve"> </w:t>
      </w:r>
      <w:r w:rsidRPr="00045B01">
        <w:rPr>
          <w:rFonts w:ascii="Cambria" w:hAnsi="Cambria" w:cs="Arial"/>
          <w:b/>
          <w:sz w:val="20"/>
          <w:szCs w:val="20"/>
        </w:rPr>
        <w:t>Example</w:t>
      </w:r>
      <w:r w:rsidRPr="00045B01">
        <w:rPr>
          <w:rFonts w:ascii="Cambria" w:hAnsi="Cambria" w:cs="Arial"/>
          <w:sz w:val="20"/>
          <w:szCs w:val="20"/>
        </w:rPr>
        <w:t>: “It was the best of times, it was the worst of times, it was the age of wisdom, it was the age of foolishness…” (Dickens 13).</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metaphor</w:t>
      </w:r>
      <w:proofErr w:type="gramEnd"/>
      <w:r w:rsidRPr="00045B01">
        <w:rPr>
          <w:rFonts w:ascii="Cambria" w:hAnsi="Cambria" w:cs="Arial"/>
          <w:sz w:val="20"/>
          <w:szCs w:val="20"/>
        </w:rPr>
        <w:t xml:space="preserve">: a comparison is made between two seemingly unrelated subjects without using </w:t>
      </w:r>
      <w:r w:rsidRPr="00045B01">
        <w:rPr>
          <w:rFonts w:ascii="Cambria" w:hAnsi="Cambria" w:cs="Arial"/>
          <w:i/>
          <w:sz w:val="20"/>
          <w:szCs w:val="20"/>
        </w:rPr>
        <w:t>like</w:t>
      </w:r>
      <w:r w:rsidRPr="00045B01">
        <w:rPr>
          <w:rFonts w:ascii="Cambria" w:hAnsi="Cambria" w:cs="Arial"/>
          <w:sz w:val="20"/>
          <w:szCs w:val="20"/>
        </w:rPr>
        <w:t xml:space="preserve"> or </w:t>
      </w:r>
      <w:r w:rsidRPr="00045B01">
        <w:rPr>
          <w:rFonts w:ascii="Cambria" w:hAnsi="Cambria" w:cs="Arial"/>
          <w:i/>
          <w:sz w:val="20"/>
          <w:szCs w:val="20"/>
        </w:rPr>
        <w:t>as</w:t>
      </w:r>
      <w:r w:rsidRPr="00045B01">
        <w:rPr>
          <w:rFonts w:ascii="Cambria" w:hAnsi="Cambria" w:cs="Arial"/>
          <w:sz w:val="20"/>
          <w:szCs w:val="20"/>
        </w:rPr>
        <w:t xml:space="preserve">. </w:t>
      </w:r>
      <w:r w:rsidRPr="00045B01">
        <w:rPr>
          <w:rFonts w:ascii="Cambria" w:hAnsi="Cambria" w:cs="Arial"/>
          <w:b/>
          <w:sz w:val="20"/>
          <w:szCs w:val="20"/>
        </w:rPr>
        <w:t>Example</w:t>
      </w:r>
      <w:r w:rsidRPr="00045B01">
        <w:rPr>
          <w:rFonts w:ascii="Cambria" w:hAnsi="Cambria" w:cs="Arial"/>
          <w:sz w:val="20"/>
          <w:szCs w:val="20"/>
        </w:rPr>
        <w:t>: “All the world’s a stage” (Shakespeare</w:t>
      </w:r>
      <w:proofErr w:type="gramStart"/>
      <w:r w:rsidRPr="00045B01">
        <w:rPr>
          <w:rFonts w:ascii="Cambria" w:hAnsi="Cambria" w:cs="Arial"/>
          <w:sz w:val="20"/>
          <w:szCs w:val="20"/>
        </w:rPr>
        <w:t xml:space="preserve">)  </w:t>
      </w:r>
      <w:r w:rsidRPr="00045B01">
        <w:rPr>
          <w:rFonts w:ascii="Cambria" w:hAnsi="Cambria" w:cs="Arial"/>
          <w:b/>
          <w:sz w:val="20"/>
          <w:szCs w:val="20"/>
        </w:rPr>
        <w:t>extended</w:t>
      </w:r>
      <w:proofErr w:type="gramEnd"/>
      <w:r w:rsidRPr="00045B01">
        <w:rPr>
          <w:rFonts w:ascii="Cambria" w:hAnsi="Cambria" w:cs="Arial"/>
          <w:b/>
          <w:sz w:val="20"/>
          <w:szCs w:val="20"/>
        </w:rPr>
        <w:t xml:space="preserve"> metaphor: </w:t>
      </w:r>
      <w:r w:rsidRPr="00045B01">
        <w:rPr>
          <w:rFonts w:ascii="Cambria" w:hAnsi="Cambria" w:cs="Arial"/>
          <w:sz w:val="20"/>
          <w:szCs w:val="20"/>
        </w:rPr>
        <w:t>metaphor that are carried over many lines</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metonymy</w:t>
      </w:r>
      <w:proofErr w:type="gramEnd"/>
      <w:r w:rsidRPr="00045B01">
        <w:rPr>
          <w:rFonts w:ascii="Cambria" w:hAnsi="Cambria" w:cs="Arial"/>
          <w:sz w:val="20"/>
          <w:szCs w:val="20"/>
        </w:rPr>
        <w:t xml:space="preserve">: the substitution of one term for another that is generally associated with it. </w:t>
      </w:r>
    </w:p>
    <w:p w:rsidR="00CD1982" w:rsidRPr="00045B01" w:rsidRDefault="00CD1982" w:rsidP="00CD1982">
      <w:pPr>
        <w:rPr>
          <w:rFonts w:ascii="Cambria" w:hAnsi="Cambria" w:cs="Arial"/>
          <w:sz w:val="20"/>
          <w:szCs w:val="20"/>
        </w:rPr>
      </w:pPr>
      <w:r w:rsidRPr="00045B01">
        <w:rPr>
          <w:rFonts w:ascii="Cambria" w:hAnsi="Cambria" w:cs="Arial"/>
          <w:b/>
          <w:sz w:val="20"/>
          <w:szCs w:val="20"/>
        </w:rPr>
        <w:t xml:space="preserve">Example: </w:t>
      </w:r>
      <w:r w:rsidRPr="00045B01">
        <w:rPr>
          <w:rFonts w:ascii="Cambria" w:hAnsi="Cambria" w:cs="Arial"/>
          <w:sz w:val="20"/>
          <w:szCs w:val="20"/>
        </w:rPr>
        <w:t>“suits” instead of businessmen</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onomatopoeia</w:t>
      </w:r>
      <w:proofErr w:type="gramEnd"/>
      <w:r w:rsidRPr="00045B01">
        <w:rPr>
          <w:rFonts w:ascii="Cambria" w:hAnsi="Cambria" w:cs="Arial"/>
          <w:sz w:val="20"/>
          <w:szCs w:val="20"/>
        </w:rPr>
        <w:t xml:space="preserve">: the use of words which in their pronunciation suggest their meaning </w:t>
      </w:r>
      <w:r w:rsidRPr="00045B01">
        <w:rPr>
          <w:rFonts w:ascii="Cambria" w:hAnsi="Cambria" w:cs="Arial"/>
          <w:b/>
          <w:sz w:val="20"/>
          <w:szCs w:val="20"/>
        </w:rPr>
        <w:t xml:space="preserve">Example: </w:t>
      </w:r>
      <w:r w:rsidRPr="00045B01">
        <w:rPr>
          <w:rFonts w:ascii="Cambria" w:hAnsi="Cambria" w:cs="Arial"/>
          <w:sz w:val="20"/>
          <w:szCs w:val="20"/>
        </w:rPr>
        <w:t>hiss, bang, crunch, buzz, snap, crackle, pop, etc…</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parallelism</w:t>
      </w:r>
      <w:proofErr w:type="gramEnd"/>
      <w:r w:rsidRPr="00045B01">
        <w:rPr>
          <w:rFonts w:ascii="Cambria" w:hAnsi="Cambria" w:cs="Arial"/>
          <w:b/>
          <w:sz w:val="20"/>
          <w:szCs w:val="20"/>
        </w:rPr>
        <w:t xml:space="preserve">: </w:t>
      </w:r>
      <w:r w:rsidRPr="00045B01">
        <w:rPr>
          <w:rFonts w:ascii="Cambria" w:hAnsi="Cambria" w:cs="Arial"/>
          <w:sz w:val="20"/>
          <w:szCs w:val="20"/>
        </w:rPr>
        <w:t xml:space="preserve">use of two or more words, phrases, or sentences with the same grammatical structure </w:t>
      </w:r>
      <w:r w:rsidRPr="00045B01">
        <w:rPr>
          <w:rFonts w:ascii="Cambria" w:hAnsi="Cambria" w:cs="Arial"/>
          <w:b/>
          <w:sz w:val="20"/>
          <w:szCs w:val="20"/>
        </w:rPr>
        <w:t>Example</w:t>
      </w:r>
      <w:r w:rsidRPr="00045B01">
        <w:rPr>
          <w:rFonts w:ascii="Cambria" w:hAnsi="Cambria" w:cs="Arial"/>
          <w:sz w:val="20"/>
          <w:szCs w:val="20"/>
        </w:rPr>
        <w:t>: “Before, a joy proposed; behind, a dream denied”</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sz w:val="20"/>
          <w:szCs w:val="20"/>
        </w:rPr>
      </w:pPr>
      <w:r w:rsidRPr="00045B01">
        <w:rPr>
          <w:rFonts w:ascii="Cambria" w:hAnsi="Cambria" w:cs="Arial"/>
          <w:b/>
          <w:sz w:val="20"/>
          <w:szCs w:val="20"/>
        </w:rPr>
        <w:t>personification</w:t>
      </w:r>
      <w:r w:rsidRPr="00045B01">
        <w:rPr>
          <w:rFonts w:ascii="Cambria" w:hAnsi="Cambria" w:cs="Arial"/>
          <w:sz w:val="20"/>
          <w:szCs w:val="20"/>
        </w:rPr>
        <w:t xml:space="preserve">: the metaphorical representation of an animal or inanimate object as having human attributes—attributes of form, character, feelings, behavior, and so on—as the name implies, a thing or idea is treated as a person  </w:t>
      </w:r>
      <w:r w:rsidRPr="00045B01">
        <w:rPr>
          <w:rFonts w:ascii="Cambria" w:hAnsi="Cambria" w:cs="Arial"/>
          <w:b/>
          <w:sz w:val="20"/>
          <w:szCs w:val="20"/>
        </w:rPr>
        <w:t>Example:</w:t>
      </w:r>
      <w:r w:rsidRPr="00045B01">
        <w:rPr>
          <w:rFonts w:ascii="Cambria" w:hAnsi="Cambria" w:cs="Arial"/>
          <w:sz w:val="20"/>
          <w:szCs w:val="20"/>
        </w:rPr>
        <w:t xml:space="preserve">  The tree cried aloud, begging for attention.</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simile</w:t>
      </w:r>
      <w:proofErr w:type="gramEnd"/>
      <w:r w:rsidRPr="00045B01">
        <w:rPr>
          <w:rFonts w:ascii="Cambria" w:hAnsi="Cambria" w:cs="Arial"/>
          <w:sz w:val="20"/>
          <w:szCs w:val="20"/>
        </w:rPr>
        <w:t xml:space="preserve">: a figure of speech in which one thing is likened to another, in such a way as to clarify and enhance an image. It is an explicit comparison, recognizable by the use of </w:t>
      </w:r>
      <w:r w:rsidRPr="00045B01">
        <w:rPr>
          <w:rFonts w:ascii="Cambria" w:hAnsi="Cambria" w:cs="Arial"/>
          <w:b/>
          <w:sz w:val="20"/>
          <w:szCs w:val="20"/>
        </w:rPr>
        <w:t>“like” or “as.”</w:t>
      </w:r>
      <w:r w:rsidRPr="00045B01">
        <w:rPr>
          <w:rFonts w:ascii="Cambria" w:hAnsi="Cambria" w:cs="Arial"/>
          <w:sz w:val="20"/>
          <w:szCs w:val="20"/>
        </w:rPr>
        <w:t xml:space="preserve">  </w:t>
      </w:r>
      <w:r w:rsidRPr="00045B01">
        <w:rPr>
          <w:rFonts w:ascii="Cambria" w:hAnsi="Cambria" w:cs="Arial"/>
          <w:b/>
          <w:sz w:val="20"/>
          <w:szCs w:val="20"/>
        </w:rPr>
        <w:t>Example</w:t>
      </w:r>
      <w:r w:rsidRPr="00045B01">
        <w:rPr>
          <w:rFonts w:ascii="Cambria" w:hAnsi="Cambria" w:cs="Arial"/>
          <w:sz w:val="20"/>
          <w:szCs w:val="20"/>
        </w:rPr>
        <w:t xml:space="preserve">: Her vanity bled </w:t>
      </w:r>
      <w:r w:rsidRPr="00045B01">
        <w:rPr>
          <w:rFonts w:ascii="Cambria" w:hAnsi="Cambria" w:cs="Arial"/>
          <w:b/>
          <w:sz w:val="20"/>
          <w:szCs w:val="20"/>
        </w:rPr>
        <w:t>like</w:t>
      </w:r>
      <w:r w:rsidRPr="00045B01">
        <w:rPr>
          <w:rFonts w:ascii="Cambria" w:hAnsi="Cambria" w:cs="Arial"/>
          <w:sz w:val="20"/>
          <w:szCs w:val="20"/>
        </w:rPr>
        <w:t xml:space="preserve"> a rusty nail.</w:t>
      </w:r>
    </w:p>
    <w:p w:rsidR="00CD1982" w:rsidRPr="00045B01" w:rsidRDefault="00CD1982" w:rsidP="00CD1982">
      <w:pPr>
        <w:rPr>
          <w:rFonts w:ascii="Cambria" w:hAnsi="Cambria" w:cs="Arial"/>
          <w:sz w:val="20"/>
          <w:szCs w:val="20"/>
        </w:rPr>
      </w:pPr>
    </w:p>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synecdoche</w:t>
      </w:r>
      <w:proofErr w:type="gramEnd"/>
      <w:r w:rsidRPr="00045B01">
        <w:rPr>
          <w:rFonts w:ascii="Cambria" w:hAnsi="Cambria" w:cs="Arial"/>
          <w:b/>
          <w:sz w:val="20"/>
          <w:szCs w:val="20"/>
        </w:rPr>
        <w:t xml:space="preserve">:  </w:t>
      </w:r>
      <w:r w:rsidRPr="00045B01">
        <w:rPr>
          <w:rFonts w:ascii="Cambria" w:hAnsi="Cambria" w:cs="Arial"/>
          <w:sz w:val="20"/>
          <w:szCs w:val="20"/>
        </w:rPr>
        <w:t>a form of metonymy in which a part of an entity is used to refer to the whole</w:t>
      </w:r>
    </w:p>
    <w:p w:rsidR="00CD1982" w:rsidRPr="00045B01" w:rsidRDefault="00CD1982" w:rsidP="00CD1982">
      <w:pPr>
        <w:rPr>
          <w:rFonts w:ascii="Cambria" w:hAnsi="Cambria" w:cs="Arial"/>
          <w:sz w:val="20"/>
          <w:szCs w:val="20"/>
        </w:rPr>
      </w:pPr>
      <w:r w:rsidRPr="00045B01">
        <w:rPr>
          <w:rFonts w:ascii="Cambria" w:hAnsi="Cambria" w:cs="Arial"/>
          <w:b/>
          <w:sz w:val="20"/>
          <w:szCs w:val="20"/>
        </w:rPr>
        <w:t>Example</w:t>
      </w:r>
      <w:r w:rsidRPr="00045B01">
        <w:rPr>
          <w:rFonts w:ascii="Cambria" w:hAnsi="Cambria" w:cs="Arial"/>
          <w:sz w:val="20"/>
          <w:szCs w:val="20"/>
        </w:rPr>
        <w:t>: “wheels” for “my car”</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sz w:val="20"/>
          <w:szCs w:val="20"/>
        </w:rPr>
      </w:pPr>
      <w:proofErr w:type="spellStart"/>
      <w:proofErr w:type="gramStart"/>
      <w:r w:rsidRPr="00045B01">
        <w:rPr>
          <w:rFonts w:ascii="Cambria" w:hAnsi="Cambria" w:cs="Arial"/>
          <w:b/>
          <w:sz w:val="20"/>
          <w:szCs w:val="20"/>
        </w:rPr>
        <w:t>synaesthesia</w:t>
      </w:r>
      <w:proofErr w:type="spellEnd"/>
      <w:proofErr w:type="gramEnd"/>
      <w:r w:rsidRPr="00045B01">
        <w:rPr>
          <w:rFonts w:ascii="Cambria" w:hAnsi="Cambria" w:cs="Arial"/>
          <w:b/>
          <w:sz w:val="20"/>
          <w:szCs w:val="20"/>
        </w:rPr>
        <w:t xml:space="preserve">: </w:t>
      </w:r>
      <w:r w:rsidRPr="00045B01">
        <w:rPr>
          <w:rFonts w:ascii="Cambria" w:hAnsi="Cambria" w:cs="Arial"/>
          <w:sz w:val="20"/>
          <w:szCs w:val="20"/>
        </w:rPr>
        <w:t xml:space="preserve">the use of one kind of sensory experience to describe another </w:t>
      </w:r>
      <w:r w:rsidRPr="00045B01">
        <w:rPr>
          <w:rFonts w:ascii="Cambria" w:hAnsi="Cambria" w:cs="Arial"/>
          <w:b/>
          <w:sz w:val="20"/>
          <w:szCs w:val="20"/>
        </w:rPr>
        <w:t xml:space="preserve">Example: </w:t>
      </w:r>
      <w:r>
        <w:rPr>
          <w:rFonts w:ascii="Cambria" w:hAnsi="Cambria" w:cs="Arial"/>
          <w:sz w:val="20"/>
          <w:szCs w:val="20"/>
        </w:rPr>
        <w:t>“heard melodies are sweet” (</w:t>
      </w:r>
      <w:r w:rsidRPr="00045B01">
        <w:rPr>
          <w:rFonts w:ascii="Cambria" w:hAnsi="Cambria" w:cs="Arial"/>
          <w:sz w:val="20"/>
          <w:szCs w:val="20"/>
        </w:rPr>
        <w:t>Keats)</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symbolism</w:t>
      </w:r>
      <w:proofErr w:type="gramEnd"/>
      <w:r w:rsidRPr="00045B01">
        <w:rPr>
          <w:rFonts w:ascii="Cambria" w:hAnsi="Cambria" w:cs="Arial"/>
          <w:b/>
          <w:sz w:val="20"/>
          <w:szCs w:val="20"/>
        </w:rPr>
        <w:t>:</w:t>
      </w:r>
      <w:r w:rsidRPr="00045B01">
        <w:rPr>
          <w:rFonts w:ascii="Cambria" w:hAnsi="Cambria" w:cs="Arial"/>
          <w:sz w:val="20"/>
          <w:szCs w:val="20"/>
        </w:rPr>
        <w:t xml:space="preserve"> an object, animate or inanimate, which represents or stands for something else</w:t>
      </w:r>
    </w:p>
    <w:p w:rsidR="00CD1982" w:rsidRPr="00045B01" w:rsidRDefault="00CD1982" w:rsidP="00CD1982">
      <w:pPr>
        <w:rPr>
          <w:rFonts w:ascii="Cambria" w:hAnsi="Cambria" w:cs="Arial"/>
          <w:sz w:val="20"/>
          <w:szCs w:val="20"/>
        </w:rPr>
      </w:pPr>
    </w:p>
    <w:p w:rsidR="00CD1982" w:rsidRPr="00045B01" w:rsidRDefault="00CD1982" w:rsidP="00CD1982">
      <w:pPr>
        <w:rPr>
          <w:rFonts w:ascii="Cambria" w:hAnsi="Cambria" w:cs="Arial"/>
          <w:b/>
          <w:sz w:val="20"/>
          <w:szCs w:val="20"/>
        </w:rPr>
      </w:pPr>
      <w:proofErr w:type="gramStart"/>
      <w:r w:rsidRPr="00045B01">
        <w:rPr>
          <w:rFonts w:ascii="Cambria" w:hAnsi="Cambria" w:cs="Arial"/>
          <w:b/>
          <w:sz w:val="20"/>
          <w:szCs w:val="20"/>
        </w:rPr>
        <w:t>theme</w:t>
      </w:r>
      <w:proofErr w:type="gramEnd"/>
      <w:r w:rsidRPr="00045B01">
        <w:rPr>
          <w:rFonts w:ascii="Cambria" w:hAnsi="Cambria" w:cs="Arial"/>
          <w:b/>
          <w:sz w:val="20"/>
          <w:szCs w:val="20"/>
        </w:rPr>
        <w:t xml:space="preserve">: </w:t>
      </w:r>
      <w:r w:rsidRPr="00045B01">
        <w:rPr>
          <w:rFonts w:ascii="Cambria" w:hAnsi="Cambria" w:cs="Arial"/>
          <w:sz w:val="20"/>
          <w:szCs w:val="20"/>
        </w:rPr>
        <w:t>The essential idea, group of ideas, or philosophy that the writer wants the reader to understand from the story she is telling.</w:t>
      </w:r>
    </w:p>
    <w:p w:rsidR="00CD1982" w:rsidRPr="00045B01" w:rsidRDefault="00CD1982" w:rsidP="00CD1982">
      <w:pPr>
        <w:rPr>
          <w:rFonts w:ascii="Cambria" w:hAnsi="Cambria" w:cs="Arial"/>
          <w:b/>
          <w:sz w:val="20"/>
          <w:szCs w:val="20"/>
        </w:rPr>
      </w:pPr>
    </w:p>
    <w:p w:rsidR="00CD1982" w:rsidRPr="00045B01" w:rsidRDefault="00CD1982" w:rsidP="00CD1982">
      <w:pPr>
        <w:rPr>
          <w:rFonts w:ascii="Cambria" w:hAnsi="Cambria" w:cs="Arial"/>
          <w:sz w:val="20"/>
          <w:szCs w:val="20"/>
        </w:rPr>
      </w:pPr>
      <w:proofErr w:type="gramStart"/>
      <w:r w:rsidRPr="00045B01">
        <w:rPr>
          <w:rFonts w:ascii="Cambria" w:hAnsi="Cambria" w:cs="Arial"/>
          <w:b/>
          <w:sz w:val="20"/>
          <w:szCs w:val="20"/>
        </w:rPr>
        <w:t>tone</w:t>
      </w:r>
      <w:proofErr w:type="gramEnd"/>
      <w:r w:rsidRPr="00045B01">
        <w:rPr>
          <w:rFonts w:ascii="Cambria" w:hAnsi="Cambria" w:cs="Arial"/>
          <w:sz w:val="20"/>
          <w:szCs w:val="20"/>
        </w:rPr>
        <w:t>: the attitude of style or expression used to write</w:t>
      </w:r>
    </w:p>
    <w:p w:rsidR="006F18B2" w:rsidRDefault="006F18B2">
      <w:bookmarkStart w:id="0" w:name="_GoBack"/>
      <w:bookmarkEnd w:id="0"/>
    </w:p>
    <w:sectPr w:rsidR="006F18B2" w:rsidSect="00CD19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82"/>
    <w:rsid w:val="00094A68"/>
    <w:rsid w:val="000E5405"/>
    <w:rsid w:val="00151EF3"/>
    <w:rsid w:val="001F2709"/>
    <w:rsid w:val="00205127"/>
    <w:rsid w:val="0027602F"/>
    <w:rsid w:val="00293DB7"/>
    <w:rsid w:val="002F2622"/>
    <w:rsid w:val="003063F6"/>
    <w:rsid w:val="00412699"/>
    <w:rsid w:val="00485CAB"/>
    <w:rsid w:val="004E2EEA"/>
    <w:rsid w:val="004F2EA8"/>
    <w:rsid w:val="00556EED"/>
    <w:rsid w:val="0059630C"/>
    <w:rsid w:val="0059742A"/>
    <w:rsid w:val="00602DED"/>
    <w:rsid w:val="00622A62"/>
    <w:rsid w:val="0068667D"/>
    <w:rsid w:val="006F18B2"/>
    <w:rsid w:val="007C4D10"/>
    <w:rsid w:val="00842EE6"/>
    <w:rsid w:val="008812CC"/>
    <w:rsid w:val="008A7FB1"/>
    <w:rsid w:val="008D31AE"/>
    <w:rsid w:val="008D71E5"/>
    <w:rsid w:val="008F3D2E"/>
    <w:rsid w:val="00921BB8"/>
    <w:rsid w:val="00951724"/>
    <w:rsid w:val="00957E19"/>
    <w:rsid w:val="00993AEA"/>
    <w:rsid w:val="00A43F1D"/>
    <w:rsid w:val="00A8456A"/>
    <w:rsid w:val="00AE70ED"/>
    <w:rsid w:val="00BF5F4B"/>
    <w:rsid w:val="00C41A18"/>
    <w:rsid w:val="00C453A9"/>
    <w:rsid w:val="00CD1982"/>
    <w:rsid w:val="00CD71D3"/>
    <w:rsid w:val="00D505E9"/>
    <w:rsid w:val="00DA21A5"/>
    <w:rsid w:val="00DA3500"/>
    <w:rsid w:val="00E55A56"/>
    <w:rsid w:val="00F7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C1511-71EF-49BA-9330-23E9D1EE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8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1</cp:revision>
  <dcterms:created xsi:type="dcterms:W3CDTF">2016-01-12T16:25:00Z</dcterms:created>
  <dcterms:modified xsi:type="dcterms:W3CDTF">2016-01-12T16:25:00Z</dcterms:modified>
</cp:coreProperties>
</file>